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B3" w:rsidRPr="00C044B3" w:rsidRDefault="00C044B3" w:rsidP="00A06EA4">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CE/GCF"/>
      <w:bookmarkStart w:id="1" w:name="_GoBack"/>
      <w:bookmarkEnd w:id="1"/>
    </w:p>
    <w:bookmarkEnd w:id="0"/>
    <w:p w:rsidR="00C044B3" w:rsidRPr="00C044B3" w:rsidRDefault="00C044B3" w:rsidP="00C044B3">
      <w:pPr>
        <w:spacing w:before="180" w:after="180" w:line="240" w:lineRule="auto"/>
        <w:jc w:val="center"/>
        <w:outlineLvl w:val="1"/>
        <w:rPr>
          <w:rFonts w:ascii="Helvetica" w:eastAsia="Times New Roman" w:hAnsi="Helvetica" w:cs="Helvetica"/>
          <w:b/>
          <w:bCs/>
          <w:color w:val="000000"/>
          <w:sz w:val="24"/>
          <w:szCs w:val="24"/>
        </w:rPr>
      </w:pPr>
      <w:r w:rsidRPr="00C044B3">
        <w:rPr>
          <w:rFonts w:ascii="Helvetica" w:eastAsia="Times New Roman" w:hAnsi="Helvetica" w:cs="Helvetica"/>
          <w:b/>
          <w:bCs/>
          <w:color w:val="000000"/>
          <w:sz w:val="24"/>
          <w:szCs w:val="24"/>
        </w:rPr>
        <w:t>Professional Staff Recruiting/Hiring</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b/>
          <w:bCs/>
          <w:sz w:val="24"/>
          <w:szCs w:val="24"/>
        </w:rPr>
        <w:t>Recruiting</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The Board desires the superintendent to develop and maintain a recruitment program designed to attract and hold the best possible professional personnel, including instructional staff who are highly qualified as defined by the federal No Child Left Behind Act of 2001 (NCLB), in the district's schools.</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It is the responsibility of the superintendent, with the assistance of other administrators, to determine the personnel needs of the district in general and of each individual school and to locate suitable candidates to recommend to the Board for employment. The search for good teachers and other professional personnel shall extend to a wide variety of educational institutions and geographical areas. It shall take into consideration the diverse characteristics of the school system and the need for staff members of various backgrounds.</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Recruitment procedures shall not overlook the talents and potential of individuals already employed in the district's schools. Any present employee of the district may apply for a position for which he or she is licensed, highly qualified, and/or meets other stated requirements.</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b/>
          <w:bCs/>
          <w:sz w:val="24"/>
          <w:szCs w:val="24"/>
        </w:rPr>
        <w:t>Background checks</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Prior to hiring any person, in accordance with state law the district shall conduct background checks with the Colorado Department of Education and previous employers regarding the applicant's fitness for employment. In all cases where credit information or reports are used in the hiring process, the district shall comply with the Fair Credit Reporting Act and applicable state law.</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b/>
          <w:bCs/>
          <w:sz w:val="24"/>
          <w:szCs w:val="24"/>
        </w:rPr>
        <w:t>Hiring</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There shall be no discrimination in the hiring process on the basis of race, color, creed, sex, sexual orientation, genetic information, religion, national origin, ancestry, age, marital status or disability.</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All candidates shall be considered on the basis of their merits, qualifications and the needs of the school district. The Board directs that recruitment procedures will give preference to teacher candidates who meet the NCLB definition of highly qualified.</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 xml:space="preserve">All interviewing and selection procedures shall ensure that the administrator directly responsible for the work of a staff member has an opportunity to aid in the selection and that, where applicable, the school principal has an opportunity to consent. Unless </w:t>
      </w:r>
      <w:r w:rsidRPr="00C044B3">
        <w:rPr>
          <w:rFonts w:ascii="Arial" w:eastAsia="Times New Roman" w:hAnsi="Arial" w:cs="Arial"/>
          <w:sz w:val="24"/>
          <w:szCs w:val="24"/>
        </w:rPr>
        <w:lastRenderedPageBreak/>
        <w:t>otherwise required by law, the final selection for nomination shall be made only by the superintendent.</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b/>
          <w:bCs/>
          <w:sz w:val="24"/>
          <w:szCs w:val="24"/>
        </w:rPr>
        <w:t>Appointment of candidates</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Nominations shall be made at meetings of the Board of Education. Nominations of teacher candidates who are not highly qualified, as defined by the NCLB, will be accompanied with an explanation as to why a highly qualified teacher candidate was not hired for the position. The vote of a majority of the Board shall be necessary to approve the appointment of teachers, administrators or any other employee of the school district. If there is a negative vote by the Board, the superintendent shall submit a new recommendation to the Board for approval.</w:t>
      </w:r>
    </w:p>
    <w:p w:rsidR="00C044B3" w:rsidRPr="00C044B3" w:rsidRDefault="00C044B3" w:rsidP="00C044B3">
      <w:pPr>
        <w:spacing w:before="100" w:beforeAutospacing="1" w:after="180" w:line="240" w:lineRule="auto"/>
        <w:rPr>
          <w:rFonts w:ascii="Arial" w:eastAsia="Times New Roman" w:hAnsi="Arial" w:cs="Arial"/>
          <w:sz w:val="24"/>
          <w:szCs w:val="24"/>
        </w:rPr>
      </w:pPr>
      <w:r w:rsidRPr="00C044B3">
        <w:rPr>
          <w:rFonts w:ascii="Arial" w:eastAsia="Times New Roman" w:hAnsi="Arial" w:cs="Arial"/>
          <w:sz w:val="24"/>
          <w:szCs w:val="24"/>
        </w:rPr>
        <w:t>Upon the hiring of any employee, information required by federal and state child support laws will be timely forwarded by the district to the appropriate state agency.</w:t>
      </w:r>
    </w:p>
    <w:p w:rsidR="00C044B3" w:rsidRDefault="004F5803" w:rsidP="004F5803">
      <w:pPr>
        <w:spacing w:after="0" w:line="240" w:lineRule="auto"/>
        <w:jc w:val="both"/>
        <w:rPr>
          <w:rFonts w:ascii="Arial" w:eastAsia="Times New Roman" w:hAnsi="Arial" w:cs="Arial"/>
          <w:sz w:val="24"/>
          <w:szCs w:val="24"/>
        </w:rPr>
      </w:pPr>
      <w:r>
        <w:rPr>
          <w:rFonts w:ascii="Arial" w:eastAsia="Times New Roman" w:hAnsi="Arial" w:cs="Arial"/>
          <w:sz w:val="24"/>
          <w:szCs w:val="24"/>
        </w:rPr>
        <w:t>Adopted:  April 1991</w:t>
      </w:r>
    </w:p>
    <w:p w:rsidR="004F5803" w:rsidRDefault="004F5803" w:rsidP="004F5803">
      <w:pPr>
        <w:spacing w:after="0" w:line="240" w:lineRule="auto"/>
        <w:jc w:val="both"/>
        <w:rPr>
          <w:rFonts w:ascii="Arial" w:eastAsia="Times New Roman" w:hAnsi="Arial" w:cs="Arial"/>
          <w:sz w:val="24"/>
          <w:szCs w:val="24"/>
        </w:rPr>
      </w:pPr>
      <w:r>
        <w:rPr>
          <w:rFonts w:ascii="Arial" w:eastAsia="Times New Roman" w:hAnsi="Arial" w:cs="Arial"/>
          <w:sz w:val="24"/>
          <w:szCs w:val="24"/>
        </w:rPr>
        <w:t>Revised:  February 2001</w:t>
      </w:r>
    </w:p>
    <w:p w:rsidR="004F5803" w:rsidRDefault="004F5803" w:rsidP="004F5803">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December 2002</w:t>
      </w:r>
    </w:p>
    <w:p w:rsidR="004F5803" w:rsidRPr="00C044B3" w:rsidRDefault="004F5803" w:rsidP="004F5803">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2003</w:t>
      </w:r>
    </w:p>
    <w:p w:rsidR="00C044B3" w:rsidRPr="00C044B3" w:rsidRDefault="00C044B3" w:rsidP="00C044B3">
      <w:pPr>
        <w:spacing w:before="180" w:after="100" w:afterAutospacing="1" w:line="240" w:lineRule="auto"/>
        <w:rPr>
          <w:rFonts w:ascii="Arial" w:eastAsia="Times New Roman" w:hAnsi="Arial" w:cs="Arial"/>
          <w:sz w:val="24"/>
          <w:szCs w:val="24"/>
        </w:rPr>
      </w:pPr>
      <w:r w:rsidRPr="00C044B3">
        <w:rPr>
          <w:rFonts w:ascii="Arial" w:eastAsia="Times New Roman" w:hAnsi="Arial" w:cs="Arial"/>
          <w:sz w:val="24"/>
          <w:szCs w:val="24"/>
        </w:rPr>
        <w:t xml:space="preserve">LEGAL </w:t>
      </w:r>
      <w:proofErr w:type="gramStart"/>
      <w:r w:rsidRPr="00C044B3">
        <w:rPr>
          <w:rFonts w:ascii="Arial" w:eastAsia="Times New Roman" w:hAnsi="Arial" w:cs="Arial"/>
          <w:sz w:val="24"/>
          <w:szCs w:val="24"/>
        </w:rPr>
        <w:t>REFS.:</w:t>
      </w:r>
      <w:proofErr w:type="gramEnd"/>
      <w:r w:rsidRPr="00C044B3">
        <w:rPr>
          <w:rFonts w:ascii="Arial" w:eastAsia="Times New Roman" w:hAnsi="Arial" w:cs="Arial"/>
          <w:sz w:val="24"/>
          <w:szCs w:val="24"/>
        </w:rPr>
        <w:t>  15 U.S.C. 1681 et seq. (Fair Credit Reporting Act)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20 U.S.C. 6319 (teacher requirements under No Child Left </w:t>
      </w:r>
      <w:proofErr w:type="gramStart"/>
      <w:r w:rsidRPr="00C044B3">
        <w:rPr>
          <w:rFonts w:ascii="Arial" w:eastAsia="Times New Roman" w:hAnsi="Arial" w:cs="Arial"/>
          <w:sz w:val="24"/>
          <w:szCs w:val="24"/>
        </w:rPr>
        <w:t>Behind</w:t>
      </w:r>
      <w:proofErr w:type="gramEnd"/>
      <w:r w:rsidRPr="00C044B3">
        <w:rPr>
          <w:rFonts w:ascii="Arial" w:eastAsia="Times New Roman" w:hAnsi="Arial" w:cs="Arial"/>
          <w:sz w:val="24"/>
          <w:szCs w:val="24"/>
        </w:rPr>
        <w:t xml:space="preserve"> Act of 2001)</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42 U.S.C. 653 (a) (Personal Responsibility and Work Opportunity Reconciliation Act)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34 C.F.R. 200.55 (federal regulations regarding highly qualified teachers)</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bookmarkStart w:id="2" w:name="725"/>
      <w:r w:rsidRPr="00C044B3">
        <w:rPr>
          <w:rFonts w:ascii="Arial" w:eastAsia="Times New Roman" w:hAnsi="Arial" w:cs="Arial"/>
          <w:sz w:val="24"/>
          <w:szCs w:val="24"/>
        </w:rPr>
        <w:t xml:space="preserve">C.R.S. </w:t>
      </w:r>
      <w:bookmarkEnd w:id="2"/>
      <w:r w:rsidRPr="00C044B3">
        <w:rPr>
          <w:rFonts w:ascii="Arial" w:eastAsia="Times New Roman" w:hAnsi="Arial" w:cs="Arial"/>
          <w:sz w:val="24"/>
          <w:szCs w:val="24"/>
        </w:rPr>
        <w:fldChar w:fldCharType="begin"/>
      </w:r>
      <w:r w:rsidRPr="00C044B3">
        <w:rPr>
          <w:rFonts w:ascii="Arial" w:eastAsia="Times New Roman" w:hAnsi="Arial" w:cs="Arial"/>
          <w:sz w:val="24"/>
          <w:szCs w:val="24"/>
        </w:rPr>
        <w:instrText xml:space="preserve"> HYPERLINK "http://www.lpdirect.net/casb/crs/8-2-126.html" \t "_blank" </w:instrText>
      </w:r>
      <w:r w:rsidRPr="00C044B3">
        <w:rPr>
          <w:rFonts w:ascii="Arial" w:eastAsia="Times New Roman" w:hAnsi="Arial" w:cs="Arial"/>
          <w:sz w:val="24"/>
          <w:szCs w:val="24"/>
        </w:rPr>
        <w:fldChar w:fldCharType="separate"/>
      </w:r>
      <w:r w:rsidRPr="00C044B3">
        <w:rPr>
          <w:rFonts w:ascii="Arial" w:eastAsia="Times New Roman" w:hAnsi="Arial" w:cs="Arial"/>
          <w:color w:val="0000FF"/>
          <w:sz w:val="24"/>
          <w:szCs w:val="24"/>
          <w:u w:val="single"/>
        </w:rPr>
        <w:t>8-2-126</w:t>
      </w:r>
      <w:r w:rsidRPr="00C044B3">
        <w:rPr>
          <w:rFonts w:ascii="Arial" w:eastAsia="Times New Roman" w:hAnsi="Arial" w:cs="Arial"/>
          <w:sz w:val="24"/>
          <w:szCs w:val="24"/>
        </w:rPr>
        <w:fldChar w:fldCharType="end"/>
      </w:r>
      <w:r w:rsidRPr="00C044B3">
        <w:rPr>
          <w:rFonts w:ascii="Arial" w:eastAsia="Times New Roman" w:hAnsi="Arial" w:cs="Arial"/>
          <w:sz w:val="24"/>
          <w:szCs w:val="24"/>
        </w:rPr>
        <w:t xml:space="preserve"> (limits employers' use of consumer credit information)</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7" w:tgtFrame="_blank" w:history="1">
        <w:r w:rsidRPr="00C044B3">
          <w:rPr>
            <w:rFonts w:ascii="Arial" w:eastAsia="Times New Roman" w:hAnsi="Arial" w:cs="Arial"/>
            <w:color w:val="0000FF"/>
            <w:sz w:val="24"/>
            <w:szCs w:val="24"/>
            <w:u w:val="single"/>
          </w:rPr>
          <w:t>13-80-103.9</w:t>
        </w:r>
      </w:hyperlink>
      <w:r w:rsidRPr="00C044B3">
        <w:rPr>
          <w:rFonts w:ascii="Arial" w:eastAsia="Times New Roman" w:hAnsi="Arial" w:cs="Arial"/>
          <w:sz w:val="24"/>
          <w:szCs w:val="24"/>
        </w:rPr>
        <w:t xml:space="preserve"> (liability for failure to perform an education employment required background check)</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8" w:tgtFrame="_blank" w:history="1">
        <w:r w:rsidRPr="00C044B3">
          <w:rPr>
            <w:rFonts w:ascii="Arial" w:eastAsia="Times New Roman" w:hAnsi="Arial" w:cs="Arial"/>
            <w:color w:val="0000FF"/>
            <w:sz w:val="24"/>
            <w:szCs w:val="24"/>
            <w:u w:val="single"/>
          </w:rPr>
          <w:t>14-14-111.5</w:t>
        </w:r>
      </w:hyperlink>
      <w:r w:rsidRPr="00C044B3">
        <w:rPr>
          <w:rFonts w:ascii="Arial" w:eastAsia="Times New Roman" w:hAnsi="Arial" w:cs="Arial"/>
          <w:sz w:val="24"/>
          <w:szCs w:val="24"/>
        </w:rPr>
        <w:t xml:space="preserve"> (Child Support Enforcement procedures)</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9" w:tgtFrame="_blank" w:history="1">
        <w:r w:rsidRPr="00C044B3">
          <w:rPr>
            <w:rFonts w:ascii="Arial" w:eastAsia="Times New Roman" w:hAnsi="Arial" w:cs="Arial"/>
            <w:color w:val="0000FF"/>
            <w:sz w:val="24"/>
            <w:szCs w:val="24"/>
            <w:u w:val="single"/>
          </w:rPr>
          <w:t>22-2-119</w:t>
        </w:r>
      </w:hyperlink>
      <w:r w:rsidRPr="00C044B3">
        <w:rPr>
          <w:rFonts w:ascii="Arial" w:eastAsia="Times New Roman" w:hAnsi="Arial" w:cs="Arial"/>
          <w:sz w:val="24"/>
          <w:szCs w:val="24"/>
        </w:rPr>
        <w:t xml:space="preserve"> (inquiries prior to hiring)</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0" w:tgtFrame="_blank" w:history="1">
        <w:r w:rsidRPr="00C044B3">
          <w:rPr>
            <w:rFonts w:ascii="Arial" w:eastAsia="Times New Roman" w:hAnsi="Arial" w:cs="Arial"/>
            <w:color w:val="0000FF"/>
            <w:sz w:val="24"/>
            <w:szCs w:val="24"/>
            <w:u w:val="single"/>
          </w:rPr>
          <w:t>22-32-109</w:t>
        </w:r>
      </w:hyperlink>
      <w:r w:rsidRPr="00C044B3">
        <w:rPr>
          <w:rFonts w:ascii="Arial" w:eastAsia="Times New Roman" w:hAnsi="Arial" w:cs="Arial"/>
          <w:sz w:val="24"/>
          <w:szCs w:val="24"/>
        </w:rPr>
        <w:t xml:space="preserve"> (1</w:t>
      </w:r>
      <w:proofErr w:type="gramStart"/>
      <w:r w:rsidRPr="00C044B3">
        <w:rPr>
          <w:rFonts w:ascii="Arial" w:eastAsia="Times New Roman" w:hAnsi="Arial" w:cs="Arial"/>
          <w:sz w:val="24"/>
          <w:szCs w:val="24"/>
        </w:rPr>
        <w:t>)(</w:t>
      </w:r>
      <w:proofErr w:type="gramEnd"/>
      <w:r w:rsidRPr="00C044B3">
        <w:rPr>
          <w:rFonts w:ascii="Arial" w:eastAsia="Times New Roman" w:hAnsi="Arial" w:cs="Arial"/>
          <w:sz w:val="24"/>
          <w:szCs w:val="24"/>
        </w:rPr>
        <w:t>f) (Board duty to employ personnel)</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1" w:tgtFrame="_blank" w:history="1">
        <w:r w:rsidRPr="00C044B3">
          <w:rPr>
            <w:rFonts w:ascii="Arial" w:eastAsia="Times New Roman" w:hAnsi="Arial" w:cs="Arial"/>
            <w:color w:val="0000FF"/>
            <w:sz w:val="24"/>
            <w:szCs w:val="24"/>
            <w:u w:val="single"/>
          </w:rPr>
          <w:t>22-32-109.7</w:t>
        </w:r>
      </w:hyperlink>
      <w:r w:rsidRPr="00C044B3">
        <w:rPr>
          <w:rFonts w:ascii="Arial" w:eastAsia="Times New Roman" w:hAnsi="Arial" w:cs="Arial"/>
          <w:sz w:val="24"/>
          <w:szCs w:val="24"/>
        </w:rPr>
        <w:t xml:space="preserve"> (duty to make inquiries prior to hiring)</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2" w:tgtFrame="_blank" w:history="1">
        <w:r w:rsidRPr="00C044B3">
          <w:rPr>
            <w:rFonts w:ascii="Arial" w:eastAsia="Times New Roman" w:hAnsi="Arial" w:cs="Arial"/>
            <w:color w:val="0000FF"/>
            <w:sz w:val="24"/>
            <w:szCs w:val="24"/>
            <w:u w:val="single"/>
          </w:rPr>
          <w:t>22-32-126</w:t>
        </w:r>
      </w:hyperlink>
      <w:r w:rsidRPr="00C044B3">
        <w:rPr>
          <w:rFonts w:ascii="Arial" w:eastAsia="Times New Roman" w:hAnsi="Arial" w:cs="Arial"/>
          <w:sz w:val="24"/>
          <w:szCs w:val="24"/>
        </w:rPr>
        <w:t xml:space="preserve"> (principal's role in hiring and assignment)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lastRenderedPageBreak/>
        <w:t xml:space="preserve">C.R.S. </w:t>
      </w:r>
      <w:hyperlink r:id="rId13" w:tgtFrame="_blank" w:history="1">
        <w:r w:rsidRPr="00C044B3">
          <w:rPr>
            <w:rFonts w:ascii="Arial" w:eastAsia="Times New Roman" w:hAnsi="Arial" w:cs="Arial"/>
            <w:color w:val="0000FF"/>
            <w:sz w:val="24"/>
            <w:szCs w:val="24"/>
            <w:u w:val="single"/>
          </w:rPr>
          <w:t>22-60.5-114</w:t>
        </w:r>
      </w:hyperlink>
      <w:r w:rsidRPr="00C044B3">
        <w:rPr>
          <w:rFonts w:ascii="Arial" w:eastAsia="Times New Roman" w:hAnsi="Arial" w:cs="Arial"/>
          <w:sz w:val="24"/>
          <w:szCs w:val="24"/>
        </w:rPr>
        <w:t xml:space="preserve"> (3) (State Board can waive some requirements for initial license applicants upon request of school district)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4" w:tgtFrame="_blank" w:history="1">
        <w:r w:rsidRPr="00C044B3">
          <w:rPr>
            <w:rFonts w:ascii="Arial" w:eastAsia="Times New Roman" w:hAnsi="Arial" w:cs="Arial"/>
            <w:color w:val="0000FF"/>
            <w:sz w:val="24"/>
            <w:szCs w:val="24"/>
            <w:u w:val="single"/>
          </w:rPr>
          <w:t>22-60.5-201</w:t>
        </w:r>
      </w:hyperlink>
      <w:r w:rsidRPr="00C044B3">
        <w:rPr>
          <w:rFonts w:ascii="Arial" w:eastAsia="Times New Roman" w:hAnsi="Arial" w:cs="Arial"/>
          <w:sz w:val="24"/>
          <w:szCs w:val="24"/>
        </w:rPr>
        <w:t xml:space="preserve"> (types of teacher licenses issued)</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5" w:tgtFrame="_blank" w:history="1">
        <w:r w:rsidRPr="00C044B3">
          <w:rPr>
            <w:rFonts w:ascii="Arial" w:eastAsia="Times New Roman" w:hAnsi="Arial" w:cs="Arial"/>
            <w:color w:val="0000FF"/>
            <w:sz w:val="24"/>
            <w:szCs w:val="24"/>
            <w:u w:val="single"/>
          </w:rPr>
          <w:t>22-61-101</w:t>
        </w:r>
      </w:hyperlink>
      <w:r w:rsidRPr="00C044B3">
        <w:rPr>
          <w:rFonts w:ascii="Arial" w:eastAsia="Times New Roman" w:hAnsi="Arial" w:cs="Arial"/>
          <w:sz w:val="24"/>
          <w:szCs w:val="24"/>
        </w:rPr>
        <w:t xml:space="preserve"> (prohibiting discrimination)</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6" w:tgtFrame="_blank" w:history="1">
        <w:r w:rsidRPr="00C044B3">
          <w:rPr>
            <w:rFonts w:ascii="Arial" w:eastAsia="Times New Roman" w:hAnsi="Arial" w:cs="Arial"/>
            <w:color w:val="0000FF"/>
            <w:sz w:val="24"/>
            <w:szCs w:val="24"/>
            <w:u w:val="single"/>
          </w:rPr>
          <w:t>22-61-103</w:t>
        </w:r>
      </w:hyperlink>
      <w:r w:rsidRPr="00C044B3">
        <w:rPr>
          <w:rFonts w:ascii="Arial" w:eastAsia="Times New Roman" w:hAnsi="Arial" w:cs="Arial"/>
          <w:sz w:val="24"/>
          <w:szCs w:val="24"/>
        </w:rPr>
        <w:t xml:space="preserve"> (requirement for teacher's oath)</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7" w:tgtFrame="_blank" w:history="1">
        <w:r w:rsidRPr="00C044B3">
          <w:rPr>
            <w:rFonts w:ascii="Arial" w:eastAsia="Times New Roman" w:hAnsi="Arial" w:cs="Arial"/>
            <w:color w:val="0000FF"/>
            <w:sz w:val="24"/>
            <w:szCs w:val="24"/>
            <w:u w:val="single"/>
          </w:rPr>
          <w:t>22-63-201</w:t>
        </w:r>
      </w:hyperlink>
      <w:r w:rsidRPr="00C044B3">
        <w:rPr>
          <w:rFonts w:ascii="Arial" w:eastAsia="Times New Roman" w:hAnsi="Arial" w:cs="Arial"/>
          <w:sz w:val="24"/>
          <w:szCs w:val="24"/>
        </w:rPr>
        <w:t xml:space="preserve"> (licensure required)</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8" w:tgtFrame="_blank" w:history="1">
        <w:r w:rsidRPr="00C044B3">
          <w:rPr>
            <w:rFonts w:ascii="Arial" w:eastAsia="Times New Roman" w:hAnsi="Arial" w:cs="Arial"/>
            <w:color w:val="0000FF"/>
            <w:sz w:val="24"/>
            <w:szCs w:val="24"/>
            <w:u w:val="single"/>
          </w:rPr>
          <w:t>22-63-202</w:t>
        </w:r>
      </w:hyperlink>
      <w:r w:rsidRPr="00C044B3">
        <w:rPr>
          <w:rFonts w:ascii="Arial" w:eastAsia="Times New Roman" w:hAnsi="Arial" w:cs="Arial"/>
          <w:sz w:val="24"/>
          <w:szCs w:val="24"/>
        </w:rPr>
        <w:t xml:space="preserve"> (employment contracts and mutual consent placement)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19" w:tgtFrame="_blank" w:history="1">
        <w:r w:rsidRPr="00C044B3">
          <w:rPr>
            <w:rFonts w:ascii="Arial" w:eastAsia="Times New Roman" w:hAnsi="Arial" w:cs="Arial"/>
            <w:color w:val="0000FF"/>
            <w:sz w:val="24"/>
            <w:szCs w:val="24"/>
            <w:u w:val="single"/>
          </w:rPr>
          <w:t>22-63-206</w:t>
        </w:r>
      </w:hyperlink>
      <w:r w:rsidRPr="00C044B3">
        <w:rPr>
          <w:rFonts w:ascii="Arial" w:eastAsia="Times New Roman" w:hAnsi="Arial" w:cs="Arial"/>
          <w:sz w:val="24"/>
          <w:szCs w:val="24"/>
        </w:rPr>
        <w:t xml:space="preserve"> (transfers)</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20" w:tgtFrame="_blank" w:history="1">
        <w:r w:rsidRPr="00C044B3">
          <w:rPr>
            <w:rFonts w:ascii="Arial" w:eastAsia="Times New Roman" w:hAnsi="Arial" w:cs="Arial"/>
            <w:color w:val="0000FF"/>
            <w:sz w:val="24"/>
            <w:szCs w:val="24"/>
            <w:u w:val="single"/>
          </w:rPr>
          <w:t>24-5-101</w:t>
        </w:r>
      </w:hyperlink>
      <w:r w:rsidRPr="00C044B3">
        <w:rPr>
          <w:rFonts w:ascii="Arial" w:eastAsia="Times New Roman" w:hAnsi="Arial" w:cs="Arial"/>
          <w:sz w:val="24"/>
          <w:szCs w:val="24"/>
        </w:rPr>
        <w:t xml:space="preserve"> (effect of criminal conviction on employment)</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21" w:tgtFrame="_blank" w:history="1">
        <w:r w:rsidRPr="00C044B3">
          <w:rPr>
            <w:rFonts w:ascii="Arial" w:eastAsia="Times New Roman" w:hAnsi="Arial" w:cs="Arial"/>
            <w:color w:val="0000FF"/>
            <w:sz w:val="24"/>
            <w:szCs w:val="24"/>
            <w:u w:val="single"/>
          </w:rPr>
          <w:t>24-34-402</w:t>
        </w:r>
      </w:hyperlink>
      <w:r w:rsidRPr="00C044B3">
        <w:rPr>
          <w:rFonts w:ascii="Arial" w:eastAsia="Times New Roman" w:hAnsi="Arial" w:cs="Arial"/>
          <w:sz w:val="24"/>
          <w:szCs w:val="24"/>
        </w:rPr>
        <w:t xml:space="preserve"> (1) (discriminatory and unfair employment practices)</w:t>
      </w:r>
    </w:p>
    <w:p w:rsidR="00C044B3" w:rsidRPr="00C044B3" w:rsidRDefault="00C044B3" w:rsidP="00C044B3">
      <w:pPr>
        <w:spacing w:before="100" w:beforeAutospacing="1" w:after="100" w:afterAutospacing="1" w:line="240" w:lineRule="auto"/>
        <w:ind w:left="2440"/>
        <w:rPr>
          <w:rFonts w:ascii="Arial" w:eastAsia="Times New Roman" w:hAnsi="Arial" w:cs="Arial"/>
          <w:sz w:val="24"/>
          <w:szCs w:val="24"/>
        </w:rPr>
      </w:pPr>
      <w:r w:rsidRPr="00C044B3">
        <w:rPr>
          <w:rFonts w:ascii="Arial" w:eastAsia="Times New Roman" w:hAnsi="Arial" w:cs="Arial"/>
          <w:sz w:val="24"/>
          <w:szCs w:val="24"/>
        </w:rPr>
        <w:t xml:space="preserve">C.R.S. </w:t>
      </w:r>
      <w:hyperlink r:id="rId22" w:tgtFrame="_blank" w:history="1">
        <w:r w:rsidRPr="00C044B3">
          <w:rPr>
            <w:rFonts w:ascii="Arial" w:eastAsia="Times New Roman" w:hAnsi="Arial" w:cs="Arial"/>
            <w:color w:val="0000FF"/>
            <w:sz w:val="24"/>
            <w:szCs w:val="24"/>
            <w:u w:val="single"/>
          </w:rPr>
          <w:t>24-72-202</w:t>
        </w:r>
      </w:hyperlink>
      <w:r w:rsidRPr="00C044B3">
        <w:rPr>
          <w:rFonts w:ascii="Arial" w:eastAsia="Times New Roman" w:hAnsi="Arial" w:cs="Arial"/>
          <w:sz w:val="24"/>
          <w:szCs w:val="24"/>
        </w:rPr>
        <w:t xml:space="preserve"> (4.5) (definition of personnel file in open records law)</w:t>
      </w:r>
    </w:p>
    <w:p w:rsidR="00C044B3" w:rsidRPr="00C044B3" w:rsidRDefault="00C044B3" w:rsidP="00C044B3">
      <w:pPr>
        <w:spacing w:before="180" w:after="100" w:afterAutospacing="1" w:line="240" w:lineRule="auto"/>
        <w:rPr>
          <w:rFonts w:ascii="Arial" w:eastAsia="Times New Roman" w:hAnsi="Arial" w:cs="Arial"/>
          <w:sz w:val="24"/>
          <w:szCs w:val="24"/>
        </w:rPr>
      </w:pPr>
      <w:r w:rsidRPr="00C044B3">
        <w:rPr>
          <w:rFonts w:ascii="Arial" w:eastAsia="Times New Roman" w:hAnsi="Arial" w:cs="Arial"/>
          <w:sz w:val="24"/>
          <w:szCs w:val="24"/>
        </w:rPr>
        <w:t xml:space="preserve">CROSS </w:t>
      </w:r>
      <w:proofErr w:type="gramStart"/>
      <w:r w:rsidRPr="00C044B3">
        <w:rPr>
          <w:rFonts w:ascii="Arial" w:eastAsia="Times New Roman" w:hAnsi="Arial" w:cs="Arial"/>
          <w:sz w:val="24"/>
          <w:szCs w:val="24"/>
        </w:rPr>
        <w:t>REFS.:</w:t>
      </w:r>
      <w:proofErr w:type="gramEnd"/>
      <w:r w:rsidRPr="00C044B3">
        <w:rPr>
          <w:rFonts w:ascii="Arial" w:eastAsia="Times New Roman" w:hAnsi="Arial" w:cs="Arial"/>
          <w:sz w:val="24"/>
          <w:szCs w:val="24"/>
        </w:rPr>
        <w:t xml:space="preserve">  </w:t>
      </w:r>
      <w:hyperlink r:id="rId23" w:anchor="JD_GBA" w:history="1">
        <w:r w:rsidRPr="00C044B3">
          <w:rPr>
            <w:rFonts w:ascii="Arial" w:eastAsia="Times New Roman" w:hAnsi="Arial" w:cs="Arial"/>
            <w:color w:val="0000FF"/>
            <w:sz w:val="24"/>
            <w:szCs w:val="24"/>
            <w:u w:val="single"/>
          </w:rPr>
          <w:t>GBA</w:t>
        </w:r>
      </w:hyperlink>
      <w:r w:rsidRPr="00C044B3">
        <w:rPr>
          <w:rFonts w:ascii="Arial" w:eastAsia="Times New Roman" w:hAnsi="Arial" w:cs="Arial"/>
          <w:sz w:val="24"/>
          <w:szCs w:val="24"/>
        </w:rPr>
        <w:t>, Open Hiring/Equal Employment Opportunity</w:t>
      </w:r>
    </w:p>
    <w:p w:rsidR="00C044B3" w:rsidRPr="00C044B3" w:rsidRDefault="00CA529B" w:rsidP="00C044B3">
      <w:pPr>
        <w:spacing w:before="100" w:beforeAutospacing="1" w:after="100" w:afterAutospacing="1" w:line="240" w:lineRule="auto"/>
        <w:ind w:left="2440"/>
        <w:rPr>
          <w:rFonts w:ascii="Arial" w:eastAsia="Times New Roman" w:hAnsi="Arial" w:cs="Arial"/>
          <w:sz w:val="24"/>
          <w:szCs w:val="24"/>
        </w:rPr>
      </w:pPr>
      <w:hyperlink r:id="rId24" w:anchor="JD_GCKAA*" w:history="1">
        <w:r w:rsidR="00C044B3" w:rsidRPr="00C044B3">
          <w:rPr>
            <w:rFonts w:ascii="Arial" w:eastAsia="Times New Roman" w:hAnsi="Arial" w:cs="Arial"/>
            <w:color w:val="0000FF"/>
            <w:sz w:val="24"/>
            <w:szCs w:val="24"/>
            <w:u w:val="single"/>
          </w:rPr>
          <w:t>GCKAA*</w:t>
        </w:r>
      </w:hyperlink>
      <w:r w:rsidR="00C044B3" w:rsidRPr="00C044B3">
        <w:rPr>
          <w:rFonts w:ascii="Arial" w:eastAsia="Times New Roman" w:hAnsi="Arial" w:cs="Arial"/>
          <w:sz w:val="24"/>
          <w:szCs w:val="24"/>
        </w:rPr>
        <w:t>, Teacher Displacement</w:t>
      </w:r>
    </w:p>
    <w:p w:rsidR="00122708" w:rsidRDefault="00122708"/>
    <w:sectPr w:rsidR="0012270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9B" w:rsidRDefault="00CA529B" w:rsidP="00815BBB">
      <w:pPr>
        <w:spacing w:after="0" w:line="240" w:lineRule="auto"/>
      </w:pPr>
      <w:r>
        <w:separator/>
      </w:r>
    </w:p>
  </w:endnote>
  <w:endnote w:type="continuationSeparator" w:id="0">
    <w:p w:rsidR="00CA529B" w:rsidRDefault="00CA529B" w:rsidP="0081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19986"/>
      <w:docPartObj>
        <w:docPartGallery w:val="Page Numbers (Bottom of Page)"/>
        <w:docPartUnique/>
      </w:docPartObj>
    </w:sdtPr>
    <w:sdtEndPr>
      <w:rPr>
        <w:noProof/>
      </w:rPr>
    </w:sdtEndPr>
    <w:sdtContent>
      <w:p w:rsidR="00815BBB" w:rsidRDefault="00815BBB">
        <w:pPr>
          <w:pStyle w:val="Footer"/>
          <w:jc w:val="right"/>
        </w:pPr>
        <w:r>
          <w:fldChar w:fldCharType="begin"/>
        </w:r>
        <w:r>
          <w:instrText xml:space="preserve"> PAGE   \* MERGEFORMAT </w:instrText>
        </w:r>
        <w:r>
          <w:fldChar w:fldCharType="separate"/>
        </w:r>
        <w:r w:rsidR="00A06EA4">
          <w:rPr>
            <w:noProof/>
          </w:rPr>
          <w:t>1</w:t>
        </w:r>
        <w:r>
          <w:rPr>
            <w:noProof/>
          </w:rPr>
          <w:fldChar w:fldCharType="end"/>
        </w:r>
        <w:r>
          <w:rPr>
            <w:noProof/>
          </w:rPr>
          <w:t xml:space="preserve"> of 3</w:t>
        </w:r>
      </w:p>
    </w:sdtContent>
  </w:sdt>
  <w:p w:rsidR="00815BBB" w:rsidRDefault="00815BBB">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9B" w:rsidRDefault="00CA529B" w:rsidP="00815BBB">
      <w:pPr>
        <w:spacing w:after="0" w:line="240" w:lineRule="auto"/>
      </w:pPr>
      <w:r>
        <w:separator/>
      </w:r>
    </w:p>
  </w:footnote>
  <w:footnote w:type="continuationSeparator" w:id="0">
    <w:p w:rsidR="00CA529B" w:rsidRDefault="00CA529B" w:rsidP="00815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BB" w:rsidRDefault="00815BBB">
    <w:pPr>
      <w:pStyle w:val="Header"/>
    </w:pPr>
    <w:r>
      <w:tab/>
    </w:r>
    <w:r>
      <w:tab/>
      <w:t>File:  GCE/GCF</w:t>
    </w:r>
  </w:p>
  <w:p w:rsidR="00815BBB" w:rsidRDefault="00815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B3"/>
    <w:rsid w:val="00122708"/>
    <w:rsid w:val="004F5803"/>
    <w:rsid w:val="00815BBB"/>
    <w:rsid w:val="00A06EA4"/>
    <w:rsid w:val="00C044B3"/>
    <w:rsid w:val="00CA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BB"/>
  </w:style>
  <w:style w:type="paragraph" w:styleId="Footer">
    <w:name w:val="footer"/>
    <w:basedOn w:val="Normal"/>
    <w:link w:val="FooterChar"/>
    <w:uiPriority w:val="99"/>
    <w:unhideWhenUsed/>
    <w:rsid w:val="0081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BB"/>
  </w:style>
  <w:style w:type="paragraph" w:styleId="BalloonText">
    <w:name w:val="Balloon Text"/>
    <w:basedOn w:val="Normal"/>
    <w:link w:val="BalloonTextChar"/>
    <w:uiPriority w:val="99"/>
    <w:semiHidden/>
    <w:unhideWhenUsed/>
    <w:rsid w:val="0081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BB"/>
  </w:style>
  <w:style w:type="paragraph" w:styleId="Footer">
    <w:name w:val="footer"/>
    <w:basedOn w:val="Normal"/>
    <w:link w:val="FooterChar"/>
    <w:uiPriority w:val="99"/>
    <w:unhideWhenUsed/>
    <w:rsid w:val="0081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BB"/>
  </w:style>
  <w:style w:type="paragraph" w:styleId="BalloonText">
    <w:name w:val="Balloon Text"/>
    <w:basedOn w:val="Normal"/>
    <w:link w:val="BalloonTextChar"/>
    <w:uiPriority w:val="99"/>
    <w:semiHidden/>
    <w:unhideWhenUsed/>
    <w:rsid w:val="0081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1481">
      <w:bodyDiv w:val="1"/>
      <w:marLeft w:val="0"/>
      <w:marRight w:val="0"/>
      <w:marTop w:val="0"/>
      <w:marBottom w:val="0"/>
      <w:divBdr>
        <w:top w:val="none" w:sz="0" w:space="0" w:color="auto"/>
        <w:left w:val="none" w:sz="0" w:space="0" w:color="auto"/>
        <w:bottom w:val="none" w:sz="0" w:space="0" w:color="auto"/>
        <w:right w:val="none" w:sz="0" w:space="0" w:color="auto"/>
      </w:divBdr>
    </w:div>
    <w:div w:id="1034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4-14-111_5.html" TargetMode="External"/><Relationship Id="rId13" Type="http://schemas.openxmlformats.org/officeDocument/2006/relationships/hyperlink" Target="http://www.lpdirect.net/casb/crs/22-60_5-114.html" TargetMode="External"/><Relationship Id="rId18" Type="http://schemas.openxmlformats.org/officeDocument/2006/relationships/hyperlink" Target="http://www.lpdirect.net/casb/crs/22-63-202.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pdirect.net/casb/crs/24-34-402.html" TargetMode="External"/><Relationship Id="rId7" Type="http://schemas.openxmlformats.org/officeDocument/2006/relationships/hyperlink" Target="http://www.lpdirect.net/casb/crs/13-80-103_9.html" TargetMode="External"/><Relationship Id="rId12" Type="http://schemas.openxmlformats.org/officeDocument/2006/relationships/hyperlink" Target="http://www.lpdirect.net/casb/crs/22-32-126.html" TargetMode="External"/><Relationship Id="rId17" Type="http://schemas.openxmlformats.org/officeDocument/2006/relationships/hyperlink" Target="http://www.lpdirect.net/casb/crs/22-63-201.htm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lpdirect.net/casb/crs/22-61-103.html" TargetMode="External"/><Relationship Id="rId20" Type="http://schemas.openxmlformats.org/officeDocument/2006/relationships/hyperlink" Target="http://www.lpdirect.net/casb/crs/24-5-101.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32-109_7.html" TargetMode="External"/><Relationship Id="rId24" Type="http://schemas.openxmlformats.org/officeDocument/2006/relationships/hyperlink" Target="http://z2.ctspublish.com/casb/DocViewer.jsp?docid=188&amp;z2collection=core" TargetMode="External"/><Relationship Id="rId5" Type="http://schemas.openxmlformats.org/officeDocument/2006/relationships/footnotes" Target="footnotes.xml"/><Relationship Id="rId15" Type="http://schemas.openxmlformats.org/officeDocument/2006/relationships/hyperlink" Target="http://www.lpdirect.net/casb/crs/22-61-101.html" TargetMode="External"/><Relationship Id="rId23" Type="http://schemas.openxmlformats.org/officeDocument/2006/relationships/hyperlink" Target="http://z2.ctspublish.com/casb/DocViewer.jsp?docid=136&amp;z2collection=core" TargetMode="External"/><Relationship Id="rId28" Type="http://schemas.openxmlformats.org/officeDocument/2006/relationships/glossaryDocument" Target="glossary/document.xml"/><Relationship Id="rId10" Type="http://schemas.openxmlformats.org/officeDocument/2006/relationships/hyperlink" Target="http://www.lpdirect.net/casb/crs/22-32-109.html" TargetMode="External"/><Relationship Id="rId19" Type="http://schemas.openxmlformats.org/officeDocument/2006/relationships/hyperlink" Target="http://www.lpdirect.net/casb/crs/22-63-206.html" TargetMode="External"/><Relationship Id="rId4" Type="http://schemas.openxmlformats.org/officeDocument/2006/relationships/webSettings" Target="webSettings.xml"/><Relationship Id="rId9" Type="http://schemas.openxmlformats.org/officeDocument/2006/relationships/hyperlink" Target="http://www.lpdirect.net/casb/crs/22-2-119.html" TargetMode="External"/><Relationship Id="rId14" Type="http://schemas.openxmlformats.org/officeDocument/2006/relationships/hyperlink" Target="http://www.lpdirect.net/casb/crs/22-60_5-201.html" TargetMode="External"/><Relationship Id="rId22" Type="http://schemas.openxmlformats.org/officeDocument/2006/relationships/hyperlink" Target="http://www.lpdirect.net/casb/crs/24-72-202.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EF"/>
    <w:rsid w:val="003F42EF"/>
    <w:rsid w:val="005B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40838D601447BC90EE9610E9246A96">
    <w:name w:val="7A40838D601447BC90EE9610E9246A96"/>
    <w:rsid w:val="003F42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40838D601447BC90EE9610E9246A96">
    <w:name w:val="7A40838D601447BC90EE9610E9246A96"/>
    <w:rsid w:val="003F4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2016-06-15T19:29:00Z</dcterms:created>
  <dcterms:modified xsi:type="dcterms:W3CDTF">2016-07-15T20:28:00Z</dcterms:modified>
</cp:coreProperties>
</file>